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color w:val="404040"/>
          <w:sz w:val="36"/>
          <w:szCs w:val="36"/>
          <w:highlight w:val="white"/>
        </w:rPr>
      </w:pPr>
      <w:r w:rsidDel="00000000" w:rsidR="00000000" w:rsidRPr="00000000">
        <w:rPr>
          <w:rFonts w:ascii="Arial Narrow" w:cs="Arial Narrow" w:eastAsia="Arial Narrow" w:hAnsi="Arial Narrow"/>
          <w:b w:val="1"/>
          <w:color w:val="404040"/>
          <w:sz w:val="36"/>
          <w:szCs w:val="36"/>
          <w:highlight w:val="white"/>
          <w:rtl w:val="0"/>
        </w:rPr>
        <w:t xml:space="preserve">CAF logra primera emisión de bonos para proyectos de educación en América Latina</w:t>
      </w:r>
    </w:p>
    <w:p w:rsidR="00000000" w:rsidDel="00000000" w:rsidP="00000000" w:rsidRDefault="00000000" w:rsidRPr="00000000" w14:paraId="00000002">
      <w:pPr>
        <w:jc w:val="both"/>
        <w:rPr>
          <w:rFonts w:ascii="Arial Narrow" w:cs="Arial Narrow" w:eastAsia="Arial Narrow" w:hAnsi="Arial Narrow"/>
          <w:i w:val="1"/>
          <w:color w:val="808080"/>
          <w:sz w:val="24"/>
          <w:szCs w:val="24"/>
          <w:highlight w:val="white"/>
        </w:rPr>
      </w:pPr>
      <w:r w:rsidDel="00000000" w:rsidR="00000000" w:rsidRPr="00000000">
        <w:rPr>
          <w:rFonts w:ascii="Arial Narrow" w:cs="Arial Narrow" w:eastAsia="Arial Narrow" w:hAnsi="Arial Narrow"/>
          <w:i w:val="1"/>
          <w:color w:val="808080"/>
          <w:sz w:val="24"/>
          <w:szCs w:val="24"/>
          <w:highlight w:val="white"/>
          <w:rtl w:val="0"/>
        </w:rPr>
        <w:t xml:space="preserve">La exitosa colocación se destinará exclusivamente a iniciativas que incrementen el acceso a la educación, mejoren la calidad en todos los niveles y fortalezcan la pertinencia de las ofertas educativas, para promover la inclusión social de los grupos más vulnerables y la transformación productiva en la región.</w:t>
      </w:r>
    </w:p>
    <w:p w:rsidR="00000000" w:rsidDel="00000000" w:rsidP="00000000" w:rsidRDefault="00000000" w:rsidRPr="00000000" w14:paraId="00000003">
      <w:pPr>
        <w:jc w:val="both"/>
        <w:rPr>
          <w:rFonts w:ascii="Arial Narrow" w:cs="Arial Narrow" w:eastAsia="Arial Narrow" w:hAnsi="Arial Narrow"/>
          <w:i w:val="1"/>
          <w:color w:val="808080"/>
          <w:sz w:val="24"/>
          <w:szCs w:val="24"/>
          <w:highlight w:val="white"/>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i w:val="1"/>
          <w:color w:val="7f7f7f"/>
          <w:sz w:val="24"/>
          <w:szCs w:val="24"/>
          <w:highlight w:val="white"/>
          <w:rtl w:val="0"/>
        </w:rPr>
        <w:t xml:space="preserve">(Ciudad de México, 05 de</w:t>
      </w:r>
      <w:r w:rsidDel="00000000" w:rsidR="00000000" w:rsidRPr="00000000">
        <w:rPr>
          <w:rFonts w:ascii="Arial Narrow" w:cs="Arial Narrow" w:eastAsia="Arial Narrow" w:hAnsi="Arial Narrow"/>
          <w:i w:val="1"/>
          <w:color w:val="808080"/>
          <w:sz w:val="24"/>
          <w:szCs w:val="24"/>
          <w:highlight w:val="white"/>
          <w:rtl w:val="0"/>
        </w:rPr>
        <w:t xml:space="preserve"> julio de 2019</w:t>
      </w:r>
      <w:r w:rsidDel="00000000" w:rsidR="00000000" w:rsidRPr="00000000">
        <w:rPr>
          <w:rFonts w:ascii="Arial Narrow" w:cs="Arial Narrow" w:eastAsia="Arial Narrow" w:hAnsi="Arial Narrow"/>
          <w:i w:val="1"/>
          <w:color w:val="7f7f7f"/>
          <w:sz w:val="24"/>
          <w:szCs w:val="24"/>
          <w:highlight w:val="white"/>
          <w:rtl w:val="0"/>
        </w:rPr>
        <w:t xml:space="preserve">). </w:t>
      </w:r>
      <w:r w:rsidDel="00000000" w:rsidR="00000000" w:rsidRPr="00000000">
        <w:rPr>
          <w:rFonts w:ascii="Arial Narrow" w:cs="Arial Narrow" w:eastAsia="Arial Narrow" w:hAnsi="Arial Narrow"/>
          <w:color w:val="212529"/>
          <w:sz w:val="24"/>
          <w:szCs w:val="24"/>
          <w:highlight w:val="white"/>
          <w:rtl w:val="0"/>
        </w:rPr>
        <w:t xml:space="preserve">Con el propósito de fortalecer el capital humano, la productividad y la competitividad de la región, CAF -banco de desarrollo de América Latina-, logró la primera colocación de bonos sociales destinados exclusivamente a proyectos de educación por un monto de USD 140 millones a un plazo de 10 años adjudicada a un inversionista Japonés.</w:t>
      </w:r>
    </w:p>
    <w:p w:rsidR="00000000" w:rsidDel="00000000" w:rsidP="00000000" w:rsidRDefault="00000000" w:rsidRPr="00000000" w14:paraId="00000005">
      <w:pPr>
        <w:jc w:val="both"/>
        <w:rPr>
          <w:rFonts w:ascii="Arial Narrow" w:cs="Arial Narrow" w:eastAsia="Arial Narrow" w:hAnsi="Arial Narrow"/>
          <w:color w:val="212529"/>
          <w:sz w:val="24"/>
          <w:szCs w:val="24"/>
          <w:highlight w:val="white"/>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color w:val="212529"/>
          <w:sz w:val="24"/>
          <w:szCs w:val="24"/>
          <w:highlight w:val="white"/>
          <w:rtl w:val="0"/>
        </w:rPr>
        <w:t xml:space="preserve">“Obtener recursos financieros a tasas competitivas para un sector estratégico con tanta necesidad y potencial como la educación es una buena noticia para América Latina. Estamos muy satisfechos por la confianza de los inversionistas en el rol de CAF como un aliado para promover el desarrollo sostenible en la región”, aseguró Luis Carranza, presidente ejecutivo de la institución.</w:t>
      </w:r>
    </w:p>
    <w:p w:rsidR="00000000" w:rsidDel="00000000" w:rsidP="00000000" w:rsidRDefault="00000000" w:rsidRPr="00000000" w14:paraId="00000007">
      <w:pPr>
        <w:jc w:val="both"/>
        <w:rPr>
          <w:rFonts w:ascii="Arial Narrow" w:cs="Arial Narrow" w:eastAsia="Arial Narrow" w:hAnsi="Arial Narrow"/>
          <w:color w:val="212529"/>
          <w:sz w:val="24"/>
          <w:szCs w:val="24"/>
          <w:highlight w:val="white"/>
        </w:rPr>
      </w:pPr>
      <w:r w:rsidDel="00000000" w:rsidR="00000000" w:rsidRPr="00000000">
        <w:rPr>
          <w:rtl w:val="0"/>
        </w:rPr>
      </w:r>
    </w:p>
    <w:p w:rsidR="00000000" w:rsidDel="00000000" w:rsidP="00000000" w:rsidRDefault="00000000" w:rsidRPr="00000000" w14:paraId="00000008">
      <w:pPr>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color w:val="212529"/>
          <w:sz w:val="24"/>
          <w:szCs w:val="24"/>
          <w:highlight w:val="white"/>
          <w:rtl w:val="0"/>
        </w:rPr>
        <w:t xml:space="preserve">Este es el primer bono social de CAF dirigido a la educación, de la mano de UBS como banco colocador. Estos recursos se destinarán a proyectos que mejoren la calidad en todos los niveles y fortalezcan la pertinencia de las ofertas educativas, para promover la inclusión social de los grupos más vulnerables y la transformación productiva en la región.</w:t>
      </w:r>
    </w:p>
    <w:p w:rsidR="00000000" w:rsidDel="00000000" w:rsidP="00000000" w:rsidRDefault="00000000" w:rsidRPr="00000000" w14:paraId="00000009">
      <w:pPr>
        <w:jc w:val="both"/>
        <w:rPr>
          <w:rFonts w:ascii="Arial Narrow" w:cs="Arial Narrow" w:eastAsia="Arial Narrow" w:hAnsi="Arial Narrow"/>
          <w:color w:val="212529"/>
          <w:sz w:val="24"/>
          <w:szCs w:val="24"/>
          <w:highlight w:val="white"/>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color w:val="212529"/>
          <w:sz w:val="24"/>
          <w:szCs w:val="24"/>
          <w:highlight w:val="white"/>
          <w:rtl w:val="0"/>
        </w:rPr>
        <w:t xml:space="preserve">Esta colocación se suma otras emisiones temáticas realizadas anteriormente por CAF, bonos agua y bonos verdes, destinados a promover el financiamiento de proyectos con alto  impacto social y ambiental en América Latina. De esta manera, la institución refuerza su estrategia de diversificación de fuentes de financiamiento y su rol como catalizador del desarrollo al atraer fondos hacia la región desde los diferentes mercados internacionales, para impulsar las inversiones. </w:t>
      </w:r>
    </w:p>
    <w:p w:rsidR="00000000" w:rsidDel="00000000" w:rsidP="00000000" w:rsidRDefault="00000000" w:rsidRPr="00000000" w14:paraId="0000000B">
      <w:pPr>
        <w:shd w:fill="ffffff" w:val="clear"/>
        <w:jc w:val="both"/>
        <w:rPr>
          <w:rFonts w:ascii="Arial Narrow" w:cs="Arial Narrow" w:eastAsia="Arial Narrow" w:hAnsi="Arial Narrow"/>
          <w:color w:val="1d1d1b"/>
        </w:rPr>
      </w:pPr>
      <w:r w:rsidDel="00000000" w:rsidR="00000000" w:rsidRPr="00000000">
        <w:rPr>
          <w:rFonts w:ascii="Arial Narrow" w:cs="Arial Narrow" w:eastAsia="Arial Narrow" w:hAnsi="Arial Narrow"/>
          <w:color w:val="1d1d1b"/>
          <w:rtl w:val="0"/>
        </w:rPr>
        <w:t xml:space="preserve"> </w:t>
      </w:r>
    </w:p>
    <w:p w:rsidR="00000000" w:rsidDel="00000000" w:rsidP="00000000" w:rsidRDefault="00000000" w:rsidRPr="00000000" w14:paraId="0000000C">
      <w:pPr>
        <w:shd w:fill="ffffff" w:val="clear"/>
        <w:ind w:left="140" w:firstLine="0"/>
        <w:jc w:val="both"/>
        <w:rPr>
          <w:rFonts w:ascii="Arial Narrow" w:cs="Arial Narrow" w:eastAsia="Arial Narrow" w:hAnsi="Arial Narrow"/>
          <w:color w:val="1155cc"/>
          <w:sz w:val="18"/>
          <w:szCs w:val="18"/>
          <w:u w:val="single"/>
        </w:rPr>
      </w:pPr>
      <w:r w:rsidDel="00000000" w:rsidR="00000000" w:rsidRPr="00000000">
        <w:rPr>
          <w:rFonts w:ascii="Arial Narrow" w:cs="Arial Narrow" w:eastAsia="Arial Narrow" w:hAnsi="Arial Narrow"/>
          <w:color w:val="222222"/>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r w:rsidDel="00000000" w:rsidR="00000000" w:rsidRPr="00000000">
        <w:fldChar w:fldCharType="begin"/>
        <w:instrText xml:space="preserve"> HYPERLINK "http://www.caf.com/" </w:instrText>
        <w:fldChar w:fldCharType="separate"/>
      </w:r>
      <w:r w:rsidDel="00000000" w:rsidR="00000000" w:rsidRPr="00000000">
        <w:rPr>
          <w:rFonts w:ascii="Arial Narrow" w:cs="Arial Narrow" w:eastAsia="Arial Narrow" w:hAnsi="Arial Narrow"/>
          <w:color w:val="1155cc"/>
          <w:sz w:val="18"/>
          <w:szCs w:val="18"/>
          <w:u w:val="single"/>
          <w:rtl w:val="0"/>
        </w:rPr>
        <w:t xml:space="preserve">www.caf.com</w:t>
      </w:r>
    </w:p>
    <w:p w:rsidR="00000000" w:rsidDel="00000000" w:rsidP="00000000" w:rsidRDefault="00000000" w:rsidRPr="00000000" w14:paraId="0000000D">
      <w:pPr>
        <w:shd w:fill="ffffff" w:val="clear"/>
        <w:ind w:left="140" w:firstLine="0"/>
        <w:jc w:val="both"/>
        <w:rPr>
          <w:rFonts w:ascii="Arial Narrow" w:cs="Arial Narrow" w:eastAsia="Arial Narrow" w:hAnsi="Arial Narrow"/>
          <w:color w:val="222222"/>
          <w:sz w:val="18"/>
          <w:szCs w:val="18"/>
        </w:rPr>
      </w:pPr>
      <w:r w:rsidDel="00000000" w:rsidR="00000000" w:rsidRPr="00000000">
        <w:rPr>
          <w:rFonts w:ascii="Arial Narrow" w:cs="Arial Narrow" w:eastAsia="Arial Narrow" w:hAnsi="Arial Narrow"/>
          <w:color w:val="1155cc"/>
          <w:sz w:val="18"/>
          <w:szCs w:val="18"/>
          <w:u w:val="single"/>
        </w:rPr>
        <w:drawing>
          <wp:inline distB="114300" distT="114300" distL="114300" distR="114300">
            <wp:extent cx="5943600" cy="2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5400"/>
                    </a:xfrm>
                    <a:prstGeom prst="rect"/>
                    <a:ln/>
                  </pic:spPr>
                </pic:pic>
              </a:graphicData>
            </a:graphic>
          </wp:inline>
        </w:drawing>
      </w:r>
      <w:r w:rsidDel="00000000" w:rsidR="00000000" w:rsidRPr="00000000">
        <w:fldChar w:fldCharType="end"/>
      </w:r>
      <w:r w:rsidDel="00000000" w:rsidR="00000000" w:rsidRPr="00000000">
        <w:rPr>
          <w:rFonts w:ascii="Arial Narrow" w:cs="Arial Narrow" w:eastAsia="Arial Narrow" w:hAnsi="Arial Narrow"/>
          <w:color w:val="222222"/>
          <w:sz w:val="18"/>
          <w:szCs w:val="18"/>
          <w:rtl w:val="0"/>
        </w:rPr>
        <w:t xml:space="preserve"> </w:t>
      </w:r>
    </w:p>
    <w:p w:rsidR="00000000" w:rsidDel="00000000" w:rsidP="00000000" w:rsidRDefault="00000000" w:rsidRPr="00000000" w14:paraId="0000000E">
      <w:pPr>
        <w:jc w:val="both"/>
        <w:rPr>
          <w:rFonts w:ascii="Arial Narrow" w:cs="Arial Narrow" w:eastAsia="Arial Narrow" w:hAnsi="Arial Narrow"/>
          <w:color w:val="1d1d1b"/>
        </w:rPr>
      </w:pPr>
      <w:r w:rsidDel="00000000" w:rsidR="00000000" w:rsidRPr="00000000">
        <w:rPr>
          <w:rtl w:val="0"/>
        </w:rPr>
      </w:r>
    </w:p>
    <w:p w:rsidR="00000000" w:rsidDel="00000000" w:rsidP="00000000" w:rsidRDefault="00000000" w:rsidRPr="00000000" w14:paraId="0000000F">
      <w:pPr>
        <w:shd w:fill="ffffff" w:val="clear"/>
        <w:jc w:val="both"/>
        <w:rPr>
          <w:rFonts w:ascii="Arial Narrow" w:cs="Arial Narrow" w:eastAsia="Arial Narrow" w:hAnsi="Arial Narrow"/>
          <w:color w:val="1155cc"/>
          <w:sz w:val="18"/>
          <w:szCs w:val="18"/>
        </w:rPr>
      </w:pPr>
      <w:r w:rsidDel="00000000" w:rsidR="00000000" w:rsidRPr="00000000">
        <w:rPr>
          <w:rFonts w:ascii="Arial Narrow" w:cs="Arial Narrow" w:eastAsia="Arial Narrow" w:hAnsi="Arial Narrow"/>
          <w:color w:val="222222"/>
          <w:sz w:val="18"/>
          <w:szCs w:val="18"/>
          <w:rtl w:val="0"/>
        </w:rPr>
        <w:t xml:space="preserve">CAF,  Dirección de Comunicación Estratégica, </w:t>
      </w:r>
      <w:r w:rsidDel="00000000" w:rsidR="00000000" w:rsidRPr="00000000">
        <w:rPr>
          <w:rFonts w:ascii="Arial Narrow" w:cs="Arial Narrow" w:eastAsia="Arial Narrow" w:hAnsi="Arial Narrow"/>
          <w:color w:val="1155cc"/>
          <w:sz w:val="18"/>
          <w:szCs w:val="18"/>
          <w:rtl w:val="0"/>
        </w:rPr>
        <w:t xml:space="preserve">prensa@caf.com</w:t>
      </w:r>
    </w:p>
    <w:p w:rsidR="00000000" w:rsidDel="00000000" w:rsidP="00000000" w:rsidRDefault="00000000" w:rsidRPr="00000000" w14:paraId="00000010">
      <w:pPr>
        <w:jc w:val="both"/>
        <w:rPr>
          <w:rFonts w:ascii="Arial Narrow" w:cs="Arial Narrow" w:eastAsia="Arial Narrow" w:hAnsi="Arial Narrow"/>
          <w:color w:val="1d1d1b"/>
        </w:rPr>
      </w:pPr>
      <w:r w:rsidDel="00000000" w:rsidR="00000000" w:rsidRPr="00000000">
        <w:rPr>
          <w:rFonts w:ascii="Arial Narrow" w:cs="Arial Narrow" w:eastAsia="Arial Narrow" w:hAnsi="Arial Narrow"/>
          <w:color w:val="222222"/>
          <w:sz w:val="18"/>
          <w:szCs w:val="18"/>
          <w:highlight w:val="white"/>
          <w:rtl w:val="0"/>
        </w:rPr>
        <w:t xml:space="preserve">Encuéntrenos en: </w:t>
      </w:r>
      <w:r w:rsidDel="00000000" w:rsidR="00000000" w:rsidRPr="00000000">
        <w:rPr>
          <w:rFonts w:ascii="Arial Narrow" w:cs="Arial Narrow" w:eastAsia="Arial Narrow" w:hAnsi="Arial Narrow"/>
          <w:sz w:val="18"/>
          <w:szCs w:val="18"/>
          <w:highlight w:val="white"/>
          <w:rtl w:val="0"/>
        </w:rPr>
        <w:t xml:space="preserve">Facebook: </w:t>
      </w:r>
      <w:hyperlink r:id="rId7">
        <w:r w:rsidDel="00000000" w:rsidR="00000000" w:rsidRPr="00000000">
          <w:rPr>
            <w:rFonts w:ascii="Arial Narrow" w:cs="Arial Narrow" w:eastAsia="Arial Narrow" w:hAnsi="Arial Narrow"/>
            <w:color w:val="1155cc"/>
            <w:sz w:val="18"/>
            <w:szCs w:val="18"/>
            <w:highlight w:val="white"/>
            <w:u w:val="single"/>
            <w:rtl w:val="0"/>
          </w:rPr>
          <w:t xml:space="preserve">CAF.America.Latina</w:t>
        </w:r>
      </w:hyperlink>
      <w:r w:rsidDel="00000000" w:rsidR="00000000" w:rsidRPr="00000000">
        <w:rPr>
          <w:rFonts w:ascii="Arial Narrow" w:cs="Arial Narrow" w:eastAsia="Arial Narrow" w:hAnsi="Arial Narrow"/>
          <w:sz w:val="18"/>
          <w:szCs w:val="18"/>
          <w:highlight w:val="white"/>
          <w:rtl w:val="0"/>
        </w:rPr>
        <w:t xml:space="preserve"> / </w:t>
      </w:r>
      <w:r w:rsidDel="00000000" w:rsidR="00000000" w:rsidRPr="00000000">
        <w:rPr>
          <w:rFonts w:ascii="Arial Narrow" w:cs="Arial Narrow" w:eastAsia="Arial Narrow" w:hAnsi="Arial Narrow"/>
          <w:color w:val="222222"/>
          <w:sz w:val="18"/>
          <w:szCs w:val="18"/>
          <w:highlight w:val="white"/>
          <w:rtl w:val="0"/>
        </w:rPr>
        <w:t xml:space="preserve">Twitter: @AgendaCAF</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160" w:line="259"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1314450</wp:posOffset>
          </wp:positionH>
          <wp:positionV relativeFrom="paragraph">
            <wp:posOffset>19051</wp:posOffset>
          </wp:positionV>
          <wp:extent cx="3309938" cy="976007"/>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09938" cy="9760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CAF.America.Latin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